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Registered Dietitian Order Writing Policy and Procedure</w:t>
      </w:r>
    </w:p>
    <w:p>
      <w:pPr>
        <w:pStyle w:val="Body"/>
        <w:jc w:val="center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en-US"/>
        </w:rPr>
        <w:t>Any Care Facility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Consistent with federal regulation F808, it is the policy of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en-US"/>
        </w:rPr>
        <w:t xml:space="preserve">Any Care Facility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that the attending physician may delegate the task of writing diet orders and other nutrition related orders to the registered dietitian nutritionist. 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daho State Board of Medicine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licensure laws also allow delegated order writing privileges.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en-US"/>
        </w:rPr>
        <w:t xml:space="preserve">Any Care Facility </w:t>
      </w:r>
      <w:r>
        <w:rPr>
          <w:rFonts w:ascii="Times New Roman" w:hAnsi="Times New Roman"/>
          <w:sz w:val="24"/>
          <w:szCs w:val="24"/>
          <w:rtl w:val="0"/>
          <w:lang w:val="en-US"/>
        </w:rPr>
        <w:t>has determined that the registered dietitian/licensed dietitian is permitted to order the following with delegation from the physician: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Oral supplements and enteral feeding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Measurement of height and weight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Modification to and/or addition of diet restrictions and consistencies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Initiation or discontinuation of fluid restrictions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Calorie counts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Change in diet consistency in consultation with speech therapy if/when warranted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Nutrition related labs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Vitamin and mineral supplements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References: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"https://www.cms.gov/Regulations-and-Guidance/Guidance/Manuals/downloads/som107ap_pp_guidelines_ltcf.pdf"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CMS Operations manual</w:t>
      </w:r>
      <w:r>
        <w:rPr/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"https://bom.idaho.gov/BOMPortal/BoardPage.aspx?Board=DIE"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Idaho State Board of Medicine Dietitian Licensure Board</w:t>
      </w:r>
      <w:r>
        <w:rPr/>
        <w:fldChar w:fldCharType="end" w:fldLock="0"/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RDN/LD: _____________________________________________________________________       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Date:________________________________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Administrator: _________________________________________________________________     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Date:____________________________________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Medical Director:_______________________________________________________________        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Date:_____________________________________</w:t>
      </w: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